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AB52F" w14:textId="77777777" w:rsidR="002E250B" w:rsidRDefault="005A5D48">
      <w:pPr>
        <w:rPr>
          <w:b/>
          <w:sz w:val="28"/>
          <w:szCs w:val="28"/>
          <w:lang w:val="en-GB"/>
        </w:rPr>
      </w:pPr>
      <w:r w:rsidRPr="00982B41">
        <w:rPr>
          <w:b/>
          <w:sz w:val="28"/>
          <w:szCs w:val="28"/>
          <w:lang w:val="en-GB"/>
        </w:rPr>
        <w:t xml:space="preserve">Offer of the </w:t>
      </w:r>
      <w:r>
        <w:rPr>
          <w:b/>
          <w:sz w:val="28"/>
          <w:szCs w:val="28"/>
          <w:lang w:val="en-GB"/>
        </w:rPr>
        <w:t>PhD study</w:t>
      </w:r>
      <w:r w:rsidRPr="00982B41">
        <w:rPr>
          <w:b/>
          <w:sz w:val="28"/>
          <w:szCs w:val="28"/>
          <w:lang w:val="en-GB"/>
        </w:rPr>
        <w:t xml:space="preserve"> for the </w:t>
      </w:r>
      <w:r>
        <w:rPr>
          <w:b/>
          <w:sz w:val="28"/>
          <w:szCs w:val="28"/>
          <w:lang w:val="en-GB"/>
        </w:rPr>
        <w:t xml:space="preserve">MSc graduate </w:t>
      </w:r>
      <w:r w:rsidRPr="00982B41">
        <w:rPr>
          <w:b/>
          <w:sz w:val="28"/>
          <w:szCs w:val="28"/>
          <w:lang w:val="en-GB"/>
        </w:rPr>
        <w:t>students of biology and agriculture</w:t>
      </w:r>
    </w:p>
    <w:p w14:paraId="6B459DD2" w14:textId="77777777" w:rsidR="005A5D48" w:rsidRDefault="005A5D48">
      <w:pPr>
        <w:rPr>
          <w:b/>
          <w:sz w:val="28"/>
          <w:szCs w:val="28"/>
          <w:lang w:val="en-GB"/>
        </w:rPr>
      </w:pPr>
    </w:p>
    <w:p w14:paraId="68C461A5" w14:textId="77777777" w:rsidR="005A5D48" w:rsidRDefault="005A5D48">
      <w:pPr>
        <w:rPr>
          <w:i/>
          <w:lang w:val="en-GB"/>
        </w:rPr>
      </w:pPr>
      <w:r w:rsidRPr="00AC2DF8">
        <w:rPr>
          <w:lang w:val="en-GB"/>
        </w:rPr>
        <w:t xml:space="preserve">Bohdan Lojka (Czech University of Life Sciences Prague) with the cooperation of </w:t>
      </w:r>
      <w:r>
        <w:rPr>
          <w:lang w:val="en-GB"/>
        </w:rPr>
        <w:t>Robert Bradley (</w:t>
      </w:r>
      <w:r w:rsidRPr="00AC2DF8">
        <w:rPr>
          <w:lang w:val="en-GB"/>
        </w:rPr>
        <w:t xml:space="preserve">University </w:t>
      </w:r>
      <w:r>
        <w:rPr>
          <w:lang w:val="en-GB"/>
        </w:rPr>
        <w:t xml:space="preserve">of </w:t>
      </w:r>
      <w:proofErr w:type="spellStart"/>
      <w:r>
        <w:rPr>
          <w:lang w:val="en-GB"/>
        </w:rPr>
        <w:t>Sharebrook</w:t>
      </w:r>
      <w:proofErr w:type="spellEnd"/>
      <w:r>
        <w:rPr>
          <w:lang w:val="en-GB"/>
        </w:rPr>
        <w:t xml:space="preserve">, </w:t>
      </w:r>
      <w:r w:rsidRPr="00AC2DF8">
        <w:rPr>
          <w:lang w:val="en-GB"/>
        </w:rPr>
        <w:t>Canada)</w:t>
      </w:r>
      <w:r>
        <w:rPr>
          <w:lang w:val="en-GB"/>
        </w:rPr>
        <w:t xml:space="preserve"> are </w:t>
      </w:r>
      <w:r w:rsidRPr="00AC2DF8">
        <w:rPr>
          <w:lang w:val="en-GB"/>
        </w:rPr>
        <w:t xml:space="preserve">looking for </w:t>
      </w:r>
      <w:r>
        <w:rPr>
          <w:lang w:val="en-GB"/>
        </w:rPr>
        <w:t xml:space="preserve">new </w:t>
      </w:r>
      <w:proofErr w:type="spellStart"/>
      <w:proofErr w:type="gramStart"/>
      <w:r>
        <w:rPr>
          <w:lang w:val="en-GB"/>
        </w:rPr>
        <w:t>phd</w:t>
      </w:r>
      <w:proofErr w:type="spellEnd"/>
      <w:proofErr w:type="gramEnd"/>
      <w:r>
        <w:rPr>
          <w:lang w:val="en-GB"/>
        </w:rPr>
        <w:t xml:space="preserve"> student</w:t>
      </w:r>
      <w:r w:rsidRPr="00AC2DF8">
        <w:rPr>
          <w:lang w:val="en-GB"/>
        </w:rPr>
        <w:t xml:space="preserve"> with biological or agricultural background for </w:t>
      </w:r>
      <w:r>
        <w:rPr>
          <w:lang w:val="en-GB"/>
        </w:rPr>
        <w:t>the</w:t>
      </w:r>
      <w:r w:rsidRPr="00AC2DF8">
        <w:rPr>
          <w:lang w:val="en-GB"/>
        </w:rPr>
        <w:t xml:space="preserve"> research </w:t>
      </w:r>
      <w:r>
        <w:rPr>
          <w:lang w:val="en-GB"/>
        </w:rPr>
        <w:t>entitled</w:t>
      </w:r>
      <w:r w:rsidR="00731035">
        <w:rPr>
          <w:lang w:val="en-GB"/>
        </w:rPr>
        <w:t>:</w:t>
      </w:r>
    </w:p>
    <w:p w14:paraId="50E2E78F" w14:textId="77777777" w:rsidR="005A5D48" w:rsidRDefault="005A5D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5A5D48" w:rsidRPr="00034D67" w14:paraId="7A0991CA" w14:textId="77777777" w:rsidTr="00731035">
        <w:trPr>
          <w:trHeight w:val="850"/>
        </w:trPr>
        <w:tc>
          <w:tcPr>
            <w:tcW w:w="3227" w:type="dxa"/>
            <w:shd w:val="clear" w:color="auto" w:fill="auto"/>
          </w:tcPr>
          <w:p w14:paraId="2BDA3304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Topic:</w:t>
            </w:r>
          </w:p>
          <w:p w14:paraId="6CE3E0AA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14:paraId="7D2ECD25" w14:textId="77777777" w:rsidR="005A5D48" w:rsidRPr="00980705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807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Would planting trees in the agricultural landscape improve soil health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trough</w:t>
            </w:r>
            <w:r w:rsidRPr="009807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Arbuscural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Mycorrhizal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F</w:t>
            </w:r>
            <w:r w:rsidRPr="009807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ungi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(AMF)?</w:t>
            </w:r>
          </w:p>
          <w:p w14:paraId="0780FA28" w14:textId="77777777" w:rsidR="005A5D48" w:rsidRPr="007A3EA6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A5D48" w:rsidRPr="00034D67" w14:paraId="6C03C4B0" w14:textId="77777777" w:rsidTr="00831D71">
        <w:trPr>
          <w:trHeight w:val="548"/>
        </w:trPr>
        <w:tc>
          <w:tcPr>
            <w:tcW w:w="3227" w:type="dxa"/>
            <w:shd w:val="clear" w:color="auto" w:fill="auto"/>
          </w:tcPr>
          <w:p w14:paraId="5C2AFA9A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Study </w:t>
            </w:r>
            <w:proofErr w:type="spellStart"/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Programmes</w:t>
            </w:r>
            <w:proofErr w:type="spellEnd"/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DCC879" w14:textId="77777777" w:rsidR="005A5D48" w:rsidRPr="00603CBA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03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Tropical Agrobiol</w:t>
            </w:r>
            <w:r w:rsidR="0073103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ogy and </w:t>
            </w:r>
            <w:proofErr w:type="spellStart"/>
            <w:r w:rsidR="00731035">
              <w:rPr>
                <w:rFonts w:ascii="Arial" w:hAnsi="Arial" w:cs="Arial"/>
                <w:bCs/>
                <w:sz w:val="22"/>
                <w:szCs w:val="22"/>
                <w:lang w:val="en-US"/>
              </w:rPr>
              <w:t>Bioresource</w:t>
            </w:r>
            <w:proofErr w:type="spellEnd"/>
            <w:r w:rsidR="0073103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Management </w:t>
            </w:r>
          </w:p>
        </w:tc>
      </w:tr>
      <w:tr w:rsidR="005A5D48" w:rsidRPr="00034D67" w14:paraId="5FC80B40" w14:textId="77777777" w:rsidTr="00831D71">
        <w:tc>
          <w:tcPr>
            <w:tcW w:w="3227" w:type="dxa"/>
            <w:shd w:val="clear" w:color="auto" w:fill="auto"/>
          </w:tcPr>
          <w:p w14:paraId="679D8228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Supervisor:</w:t>
            </w:r>
          </w:p>
        </w:tc>
        <w:tc>
          <w:tcPr>
            <w:tcW w:w="5812" w:type="dxa"/>
            <w:shd w:val="clear" w:color="auto" w:fill="auto"/>
          </w:tcPr>
          <w:p w14:paraId="209719DE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d</w:t>
            </w:r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>oc</w:t>
            </w:r>
            <w:proofErr w:type="gramEnd"/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>Ing</w:t>
            </w:r>
            <w:proofErr w:type="spellEnd"/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>. Bohdan Lojka, Ph.D.</w:t>
            </w:r>
          </w:p>
        </w:tc>
      </w:tr>
      <w:tr w:rsidR="005A5D48" w:rsidRPr="00034D67" w14:paraId="7E42A827" w14:textId="77777777" w:rsidTr="00831D71">
        <w:tc>
          <w:tcPr>
            <w:tcW w:w="3227" w:type="dxa"/>
            <w:shd w:val="clear" w:color="auto" w:fill="auto"/>
          </w:tcPr>
          <w:p w14:paraId="18647988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Supervisor-consultant:</w:t>
            </w:r>
          </w:p>
        </w:tc>
        <w:tc>
          <w:tcPr>
            <w:tcW w:w="5812" w:type="dxa"/>
            <w:shd w:val="clear" w:color="auto" w:fill="auto"/>
          </w:tcPr>
          <w:p w14:paraId="619723BB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>Prof. Robert L. B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radley, Ph.D., University of Sher</w:t>
            </w:r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>brook, Canada</w:t>
            </w:r>
          </w:p>
        </w:tc>
      </w:tr>
      <w:tr w:rsidR="005A5D48" w:rsidRPr="00034D67" w14:paraId="5DA54C40" w14:textId="77777777" w:rsidTr="00831D71">
        <w:tc>
          <w:tcPr>
            <w:tcW w:w="3227" w:type="dxa"/>
            <w:shd w:val="clear" w:color="auto" w:fill="auto"/>
          </w:tcPr>
          <w:p w14:paraId="5E39DD99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Prospective funding</w:t>
            </w:r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6CF7131E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University of </w:t>
            </w:r>
            <w:proofErr w:type="spellStart"/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>Sharebrook</w:t>
            </w:r>
            <w:proofErr w:type="spellEnd"/>
            <w:r w:rsidRPr="00034D67">
              <w:rPr>
                <w:rFonts w:ascii="Arial" w:hAnsi="Arial" w:cs="Arial"/>
                <w:bCs/>
                <w:sz w:val="22"/>
                <w:szCs w:val="22"/>
                <w:lang w:val="en-US"/>
              </w:rPr>
              <w:t>, Canada</w:t>
            </w:r>
          </w:p>
        </w:tc>
      </w:tr>
      <w:tr w:rsidR="005A5D48" w:rsidRPr="00034D67" w14:paraId="78878206" w14:textId="77777777" w:rsidTr="00831D71">
        <w:trPr>
          <w:trHeight w:val="7357"/>
        </w:trPr>
        <w:tc>
          <w:tcPr>
            <w:tcW w:w="3227" w:type="dxa"/>
            <w:shd w:val="clear" w:color="auto" w:fill="auto"/>
          </w:tcPr>
          <w:p w14:paraId="296B11E3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Annotation:</w:t>
            </w:r>
          </w:p>
          <w:p w14:paraId="0B99F4C1" w14:textId="77777777" w:rsidR="005A5D48" w:rsidRPr="00034D67" w:rsidRDefault="005A5D48" w:rsidP="00831D7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34D67">
              <w:rPr>
                <w:rFonts w:ascii="Arial" w:hAnsi="Arial" w:cs="Arial"/>
                <w:bCs/>
                <w:sz w:val="18"/>
                <w:szCs w:val="18"/>
                <w:lang w:val="en-US"/>
              </w:rPr>
              <w:t>(150-200 words recommended)</w:t>
            </w:r>
          </w:p>
        </w:tc>
        <w:tc>
          <w:tcPr>
            <w:tcW w:w="5812" w:type="dxa"/>
            <w:shd w:val="clear" w:color="auto" w:fill="auto"/>
          </w:tcPr>
          <w:p w14:paraId="2C4F47F0" w14:textId="77777777" w:rsidR="005A5D48" w:rsidRPr="00034D67" w:rsidRDefault="005A5D48" w:rsidP="00831D7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34D67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Brassica </w:t>
            </w:r>
            <w:proofErr w:type="spellStart"/>
            <w:r w:rsidRPr="00034D67">
              <w:rPr>
                <w:rFonts w:ascii="Arial" w:hAnsi="Arial" w:cs="Arial"/>
                <w:i/>
                <w:sz w:val="22"/>
                <w:szCs w:val="22"/>
                <w:lang w:val="en-US"/>
              </w:rPr>
              <w:t>rapa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is a major oilseed crop in both the whole Northern Europe, but also Northern U.S and Canada.  Distinguishing features of </w:t>
            </w:r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rapa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are its non-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mycorrhizal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roots and tissues that contain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glucosinolates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. Both of these features, combined with continuous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monocropping</w:t>
            </w:r>
            <w:proofErr w:type="spellEnd"/>
            <w:proofErr w:type="gram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,  are</w:t>
            </w:r>
            <w:proofErr w:type="gram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expected to decrease the abundance of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arbuscular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mycorrhizal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fungi (AMF) in soil because: (1) AMF are obligate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symbionts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and, therefore, cannot grow and multiply in the absence of a host plant, and (2)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glucosinolates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that are released in soil may be catabolized to produce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fungitoxic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derivatives. While a decrease in AMF abundance should not pose a problem for </w:t>
            </w:r>
            <w:r w:rsidRPr="00034D67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034D67">
              <w:rPr>
                <w:rFonts w:ascii="Arial" w:hAnsi="Arial" w:cs="Arial"/>
                <w:i/>
                <w:sz w:val="22"/>
                <w:szCs w:val="22"/>
                <w:lang w:val="en-US"/>
              </w:rPr>
              <w:t>rapa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, it is expected to induce stress in other mycotrophic crops grown in rotation with </w:t>
            </w:r>
            <w:r w:rsidRPr="00034D67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034D67">
              <w:rPr>
                <w:rFonts w:ascii="Arial" w:hAnsi="Arial" w:cs="Arial"/>
                <w:i/>
                <w:sz w:val="22"/>
                <w:szCs w:val="22"/>
                <w:lang w:val="en-US"/>
              </w:rPr>
              <w:t>rapa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(e.g. barley or wheat). In fact, most agronomic crops rely on the AMF symbiosis to enhance nutrient uptake, drought resistance and </w:t>
            </w:r>
            <w:r w:rsidRPr="00034D6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protection against root pathogens. </w:t>
            </w:r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Several fast-growing trees, such as poplars (</w:t>
            </w:r>
            <w:proofErr w:type="spellStart"/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Populus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spp.), also form symbiotic associations with AMF. We hypothesize, that if intercropped with </w:t>
            </w:r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rapa</w:t>
            </w:r>
            <w:proofErr w:type="spellEnd"/>
            <w:r w:rsidRPr="00034D67">
              <w:rPr>
                <w:rFonts w:ascii="Arial" w:hAnsi="Arial" w:cs="Arial"/>
                <w:iCs/>
                <w:sz w:val="22"/>
                <w:szCs w:val="22"/>
                <w:lang w:val="en-US"/>
              </w:rPr>
              <w:t>,</w:t>
            </w:r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poplars roots could maintain a long-term presence of active AMF biomass. Hence, poplar roots could provide a “nursery” of AMF </w:t>
            </w:r>
            <w:proofErr w:type="spellStart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inocula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 xml:space="preserve"> in soils for mycotrophic crops grown in rotation with </w:t>
            </w:r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034D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rapa</w:t>
            </w:r>
            <w:proofErr w:type="spellEnd"/>
            <w:r w:rsidRPr="00034D67">
              <w:rPr>
                <w:rFonts w:ascii="Arial" w:hAnsi="Arial" w:cs="Arial"/>
                <w:sz w:val="22"/>
                <w:szCs w:val="22"/>
                <w:lang w:val="en-US"/>
              </w:rPr>
              <w:t>. The research will attempt to demonstrate these phenomena through a series of field, microcosm and laboratory studies. The results are expected to provide strong science-based arguments for the implementation of tree-based intercropping systems in temperate climates.</w:t>
            </w:r>
          </w:p>
        </w:tc>
      </w:tr>
    </w:tbl>
    <w:p w14:paraId="01941718" w14:textId="77777777" w:rsidR="005A5D48" w:rsidRDefault="005A5D48"/>
    <w:p w14:paraId="2946B163" w14:textId="77777777" w:rsidR="005A5D48" w:rsidRDefault="00731035">
      <w:pPr>
        <w:rPr>
          <w:lang w:val="en-GB"/>
        </w:rPr>
      </w:pPr>
      <w:r>
        <w:rPr>
          <w:lang w:val="en-GB"/>
        </w:rPr>
        <w:t xml:space="preserve">We look for enthusiastic, hard-working, </w:t>
      </w:r>
      <w:r>
        <w:rPr>
          <w:lang w:val="en-GB"/>
        </w:rPr>
        <w:t xml:space="preserve">competent and motivated student. </w:t>
      </w:r>
      <w:r w:rsidR="005A5D48" w:rsidRPr="005A5D48">
        <w:rPr>
          <w:lang w:val="en-GB"/>
        </w:rPr>
        <w:t xml:space="preserve">We offer competitive financing of the student and possibility of </w:t>
      </w:r>
      <w:r w:rsidRPr="005A5D48">
        <w:rPr>
          <w:lang w:val="en-GB"/>
        </w:rPr>
        <w:t>internship</w:t>
      </w:r>
      <w:bookmarkStart w:id="0" w:name="_GoBack"/>
      <w:bookmarkEnd w:id="0"/>
      <w:r w:rsidR="005A5D48" w:rsidRPr="005A5D48">
        <w:rPr>
          <w:lang w:val="en-GB"/>
        </w:rPr>
        <w:t xml:space="preserve"> at the </w:t>
      </w:r>
      <w:proofErr w:type="spellStart"/>
      <w:r w:rsidR="005A5D48" w:rsidRPr="005A5D48">
        <w:rPr>
          <w:lang w:val="en-GB"/>
        </w:rPr>
        <w:t>Sharebrook</w:t>
      </w:r>
      <w:proofErr w:type="spellEnd"/>
      <w:r w:rsidR="005A5D48" w:rsidRPr="005A5D48">
        <w:rPr>
          <w:lang w:val="en-GB"/>
        </w:rPr>
        <w:t xml:space="preserve"> University in Canada. </w:t>
      </w:r>
    </w:p>
    <w:p w14:paraId="180FE940" w14:textId="77777777" w:rsidR="00731035" w:rsidRDefault="00731035">
      <w:pPr>
        <w:rPr>
          <w:lang w:val="en-GB"/>
        </w:rPr>
      </w:pPr>
      <w:r>
        <w:rPr>
          <w:lang w:val="en-GB"/>
        </w:rPr>
        <w:t xml:space="preserve">For more information please contact: Bohdan Lojka, </w:t>
      </w:r>
      <w:proofErr w:type="gramStart"/>
      <w:r>
        <w:rPr>
          <w:lang w:val="en-GB"/>
        </w:rPr>
        <w:t>lojka@ftz.czu.cz ,</w:t>
      </w:r>
      <w:proofErr w:type="gramEnd"/>
      <w:r>
        <w:rPr>
          <w:lang w:val="en-GB"/>
        </w:rPr>
        <w:t xml:space="preserve"> 734170763</w:t>
      </w:r>
    </w:p>
    <w:p w14:paraId="357409C4" w14:textId="77777777" w:rsidR="00731035" w:rsidRDefault="00731035">
      <w:pPr>
        <w:rPr>
          <w:lang w:val="en-GB"/>
        </w:rPr>
      </w:pPr>
    </w:p>
    <w:p w14:paraId="3FA7674D" w14:textId="77777777" w:rsidR="00731035" w:rsidRDefault="00731035">
      <w:pPr>
        <w:rPr>
          <w:lang w:val="en-GB"/>
        </w:rPr>
      </w:pPr>
      <w:r>
        <w:rPr>
          <w:lang w:val="en-GB"/>
        </w:rPr>
        <w:t xml:space="preserve">Application trough </w:t>
      </w:r>
      <w:hyperlink r:id="rId5" w:history="1">
        <w:r w:rsidRPr="00AB2C03">
          <w:rPr>
            <w:rStyle w:val="Hyperlink"/>
            <w:lang w:val="en-GB"/>
          </w:rPr>
          <w:t>https://www.ftz.czu.cz/en/r-9420-study/r-9505-study-programmes/r-10477-phd-doctoral-degree-programmes/r-10478-tropical-agrobiology-and-bioresource-management</w:t>
        </w:r>
      </w:hyperlink>
      <w:r>
        <w:rPr>
          <w:lang w:val="en-GB"/>
        </w:rPr>
        <w:t xml:space="preserve"> </w:t>
      </w:r>
    </w:p>
    <w:p w14:paraId="1432D4E2" w14:textId="77777777" w:rsidR="00731035" w:rsidRPr="005A5D48" w:rsidRDefault="00731035">
      <w:pPr>
        <w:rPr>
          <w:lang w:val="en-GB"/>
        </w:rPr>
      </w:pPr>
    </w:p>
    <w:sectPr w:rsidR="00731035" w:rsidRPr="005A5D48" w:rsidSect="002E25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48"/>
    <w:rsid w:val="002E250B"/>
    <w:rsid w:val="005A5D48"/>
    <w:rsid w:val="0073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DFFF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0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tz.czu.cz/en/r-9420-study/r-9505-study-programmes/r-10477-phd-doctoral-degree-programmes/r-10478-tropical-agrobiology-and-bioresource-managemen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2454</Characters>
  <Application>Microsoft Macintosh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lojka</dc:creator>
  <cp:keywords/>
  <dc:description/>
  <cp:lastModifiedBy>lojka</cp:lastModifiedBy>
  <cp:revision>2</cp:revision>
  <dcterms:created xsi:type="dcterms:W3CDTF">2018-05-03T13:28:00Z</dcterms:created>
  <dcterms:modified xsi:type="dcterms:W3CDTF">2018-05-03T13:35:00Z</dcterms:modified>
</cp:coreProperties>
</file>